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EE3" w:rsidRDefault="004167A9" w:rsidP="00A262EA">
      <w:pPr>
        <w:jc w:val="center"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186.4pt;margin-top:-54.35pt;width:293.25pt;height:42.75pt;z-index:251664384">
            <v:textbox>
              <w:txbxContent>
                <w:p w:rsidR="0059618C" w:rsidRPr="0059618C" w:rsidRDefault="0059618C" w:rsidP="0059618C">
                  <w:pPr>
                    <w:jc w:val="center"/>
                    <w:rPr>
                      <w:b/>
                      <w:sz w:val="52"/>
                    </w:rPr>
                  </w:pPr>
                  <w:r w:rsidRPr="0059618C">
                    <w:rPr>
                      <w:b/>
                      <w:sz w:val="52"/>
                    </w:rPr>
                    <w:t>Crèche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9" type="#_x0000_t202" style="position:absolute;left:0;text-align:left;margin-left:1.9pt;margin-top:-58.85pt;width:467.35pt;height:51pt;z-index:251661312" strokecolor="white [3212]">
            <v:textbox>
              <w:txbxContent>
                <w:p w:rsidR="00236E90" w:rsidRDefault="004167A9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8" type="#_x0000_t136" style="width:147.75pt;height:43.5pt" fillcolor="#0070c0">
                        <v:shadow on="t" opacity="52429f"/>
                        <v:textpath style="font-family:&quot;Arial Black&quot;;font-style:italic;v-text-kern:t" trim="t" fitpath="t" string="PROJET:"/>
                      </v:shape>
                    </w:pict>
                  </w:r>
                </w:p>
              </w:txbxContent>
            </v:textbox>
          </v:shape>
        </w:pict>
      </w:r>
      <w:r w:rsidR="005E5860" w:rsidRPr="005E5860">
        <w:rPr>
          <w:noProof/>
          <w:lang w:eastAsia="fr-FR"/>
        </w:rPr>
        <w:drawing>
          <wp:inline distT="0" distB="0" distL="0" distR="0">
            <wp:extent cx="2200275" cy="1465088"/>
            <wp:effectExtent l="19050" t="0" r="9525" b="0"/>
            <wp:docPr id="17" name="il_fi" descr="http://static.c.vigicorp.fr/00/01/99/00019911-dcbe89bd43e432fd23f2cec98f023f28/maison-%C3%A9tiquet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tatic.c.vigicorp.fr/00/01/99/00019911-dcbe89bd43e432fd23f2cec98f023f28/maison-%C3%A9tiquett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921" cy="1467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62EA"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32" type="#_x0000_t172" style="width:178.5pt;height:105.7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Tableau des criteres &#10;de choix de &#10;l'emplacement de &#10;l'extension"/>
          </v:shape>
        </w:pict>
      </w:r>
    </w:p>
    <w:tbl>
      <w:tblPr>
        <w:tblStyle w:val="Grilledutableau"/>
        <w:tblW w:w="9747" w:type="dxa"/>
        <w:tblLook w:val="04A0"/>
      </w:tblPr>
      <w:tblGrid>
        <w:gridCol w:w="1226"/>
        <w:gridCol w:w="1537"/>
        <w:gridCol w:w="1312"/>
        <w:gridCol w:w="1230"/>
        <w:gridCol w:w="1587"/>
        <w:gridCol w:w="1173"/>
        <w:gridCol w:w="639"/>
        <w:gridCol w:w="1043"/>
      </w:tblGrid>
      <w:tr w:rsidR="000A3DBE" w:rsidTr="00446B66">
        <w:tc>
          <w:tcPr>
            <w:tcW w:w="1098" w:type="dxa"/>
          </w:tcPr>
          <w:p w:rsidR="000A3DBE" w:rsidRPr="000A3DBE" w:rsidRDefault="004167A9" w:rsidP="000A3DBE">
            <w:pPr>
              <w:jc w:val="center"/>
              <w:rPr>
                <w:color w:val="365F91" w:themeColor="accent1" w:themeShade="BF"/>
              </w:rPr>
            </w:pPr>
            <w:r>
              <w:rPr>
                <w:noProof/>
                <w:color w:val="365F91" w:themeColor="accent1" w:themeShade="BF"/>
                <w:lang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left:0;text-align:left;margin-left:-7.1pt;margin-top:12.6pt;width:62.25pt;height:23.3pt;z-index:251663360" o:connectortype="straight"/>
              </w:pict>
            </w:r>
            <w:r w:rsidR="000A3DBE" w:rsidRPr="000A3DBE">
              <w:rPr>
                <w:color w:val="365F91" w:themeColor="accent1" w:themeShade="BF"/>
              </w:rPr>
              <w:t>Critères</w:t>
            </w:r>
          </w:p>
          <w:p w:rsidR="000A3DBE" w:rsidRPr="000A3DBE" w:rsidRDefault="000A3DBE" w:rsidP="000A3DBE">
            <w:pPr>
              <w:jc w:val="center"/>
              <w:rPr>
                <w:color w:val="365F91" w:themeColor="accent1" w:themeShade="BF"/>
              </w:rPr>
            </w:pPr>
          </w:p>
          <w:p w:rsidR="000A3DBE" w:rsidRPr="000A3DBE" w:rsidRDefault="000A3DBE" w:rsidP="000A3DBE">
            <w:pPr>
              <w:jc w:val="center"/>
              <w:rPr>
                <w:color w:val="365F91" w:themeColor="accent1" w:themeShade="BF"/>
              </w:rPr>
            </w:pPr>
          </w:p>
          <w:p w:rsidR="000A3DBE" w:rsidRPr="000A3DBE" w:rsidRDefault="000A3DBE" w:rsidP="000A3DBE">
            <w:pPr>
              <w:jc w:val="center"/>
              <w:rPr>
                <w:color w:val="365F91" w:themeColor="accent1" w:themeShade="BF"/>
              </w:rPr>
            </w:pPr>
            <w:r w:rsidRPr="000A3DBE">
              <w:rPr>
                <w:color w:val="365F91" w:themeColor="accent1" w:themeShade="BF"/>
              </w:rPr>
              <w:t>Solutions</w:t>
            </w:r>
          </w:p>
        </w:tc>
        <w:tc>
          <w:tcPr>
            <w:tcW w:w="1537" w:type="dxa"/>
          </w:tcPr>
          <w:p w:rsidR="000A3DBE" w:rsidRPr="000A3DBE" w:rsidRDefault="000A3DBE" w:rsidP="000A3DBE">
            <w:pPr>
              <w:jc w:val="center"/>
              <w:rPr>
                <w:color w:val="365F91" w:themeColor="accent1" w:themeShade="BF"/>
              </w:rPr>
            </w:pPr>
            <w:r w:rsidRPr="000A3DBE">
              <w:rPr>
                <w:color w:val="365F91" w:themeColor="accent1" w:themeShade="BF"/>
              </w:rPr>
              <w:t>Ensoleillement</w:t>
            </w:r>
          </w:p>
          <w:p w:rsidR="000A3DBE" w:rsidRPr="000A3DBE" w:rsidRDefault="000A3DBE" w:rsidP="000A3DBE">
            <w:pPr>
              <w:jc w:val="center"/>
              <w:rPr>
                <w:color w:val="365F91" w:themeColor="accent1" w:themeShade="BF"/>
              </w:rPr>
            </w:pPr>
            <w:r w:rsidRPr="000A3DBE">
              <w:rPr>
                <w:color w:val="365F91" w:themeColor="accent1" w:themeShade="BF"/>
              </w:rPr>
              <w:t>Orientation</w:t>
            </w:r>
          </w:p>
          <w:p w:rsidR="000A3DBE" w:rsidRPr="000A3DBE" w:rsidRDefault="000A3DBE" w:rsidP="000A3DBE">
            <w:pPr>
              <w:jc w:val="center"/>
              <w:rPr>
                <w:color w:val="365F91" w:themeColor="accent1" w:themeShade="BF"/>
              </w:rPr>
            </w:pPr>
          </w:p>
        </w:tc>
        <w:tc>
          <w:tcPr>
            <w:tcW w:w="1312" w:type="dxa"/>
          </w:tcPr>
          <w:p w:rsidR="000A3DBE" w:rsidRPr="000A3DBE" w:rsidRDefault="000A3DBE" w:rsidP="000A3DBE">
            <w:pPr>
              <w:jc w:val="center"/>
              <w:rPr>
                <w:color w:val="365F91" w:themeColor="accent1" w:themeShade="BF"/>
              </w:rPr>
            </w:pPr>
            <w:r w:rsidRPr="000A3DBE">
              <w:rPr>
                <w:color w:val="365F91" w:themeColor="accent1" w:themeShade="BF"/>
              </w:rPr>
              <w:t>Accessibilité travaux</w:t>
            </w:r>
          </w:p>
        </w:tc>
        <w:tc>
          <w:tcPr>
            <w:tcW w:w="1230" w:type="dxa"/>
          </w:tcPr>
          <w:p w:rsidR="000A3DBE" w:rsidRPr="000A3DBE" w:rsidRDefault="000A3DBE" w:rsidP="000A3DBE">
            <w:pPr>
              <w:jc w:val="center"/>
              <w:rPr>
                <w:color w:val="365F91" w:themeColor="accent1" w:themeShade="BF"/>
              </w:rPr>
            </w:pPr>
            <w:r w:rsidRPr="000A3DBE">
              <w:rPr>
                <w:color w:val="365F91" w:themeColor="accent1" w:themeShade="BF"/>
              </w:rPr>
              <w:t>Complexité travaux</w:t>
            </w:r>
          </w:p>
        </w:tc>
        <w:tc>
          <w:tcPr>
            <w:tcW w:w="1587" w:type="dxa"/>
          </w:tcPr>
          <w:p w:rsidR="000A3DBE" w:rsidRPr="000A3DBE" w:rsidRDefault="000A3DBE" w:rsidP="000A3DBE">
            <w:pPr>
              <w:jc w:val="center"/>
              <w:rPr>
                <w:color w:val="365F91" w:themeColor="accent1" w:themeShade="BF"/>
              </w:rPr>
            </w:pPr>
            <w:r w:rsidRPr="000A3DBE">
              <w:rPr>
                <w:color w:val="365F91" w:themeColor="accent1" w:themeShade="BF"/>
              </w:rPr>
              <w:t>Déconstruction prévisible</w:t>
            </w:r>
          </w:p>
        </w:tc>
        <w:tc>
          <w:tcPr>
            <w:tcW w:w="1173" w:type="dxa"/>
          </w:tcPr>
          <w:p w:rsidR="000A3DBE" w:rsidRPr="000A3DBE" w:rsidRDefault="000A3DBE" w:rsidP="000A3DBE">
            <w:pPr>
              <w:jc w:val="center"/>
              <w:rPr>
                <w:color w:val="365F91" w:themeColor="accent1" w:themeShade="BF"/>
              </w:rPr>
            </w:pPr>
            <w:r w:rsidRPr="000A3DBE">
              <w:rPr>
                <w:color w:val="365F91" w:themeColor="accent1" w:themeShade="BF"/>
              </w:rPr>
              <w:t>Compacité du bâtiment étendu</w:t>
            </w:r>
          </w:p>
        </w:tc>
        <w:tc>
          <w:tcPr>
            <w:tcW w:w="639" w:type="dxa"/>
          </w:tcPr>
          <w:p w:rsidR="000A3DBE" w:rsidRPr="000A3DBE" w:rsidRDefault="000A3DBE" w:rsidP="000A3DBE">
            <w:pPr>
              <w:jc w:val="center"/>
              <w:rPr>
                <w:color w:val="365F91" w:themeColor="accent1" w:themeShade="BF"/>
              </w:rPr>
            </w:pPr>
            <w:r w:rsidRPr="000A3DBE">
              <w:rPr>
                <w:color w:val="365F91" w:themeColor="accent1" w:themeShade="BF"/>
              </w:rPr>
              <w:t>Coût</w:t>
            </w:r>
          </w:p>
        </w:tc>
        <w:tc>
          <w:tcPr>
            <w:tcW w:w="1171" w:type="dxa"/>
          </w:tcPr>
          <w:p w:rsidR="000A3DBE" w:rsidRPr="000A3DBE" w:rsidRDefault="000A3DBE" w:rsidP="000A3DBE">
            <w:pPr>
              <w:jc w:val="center"/>
              <w:rPr>
                <w:color w:val="365F91" w:themeColor="accent1" w:themeShade="BF"/>
              </w:rPr>
            </w:pPr>
            <w:r w:rsidRPr="000A3DBE">
              <w:rPr>
                <w:color w:val="365F91" w:themeColor="accent1" w:themeShade="BF"/>
              </w:rPr>
              <w:t>Confort  et sécurité</w:t>
            </w:r>
          </w:p>
        </w:tc>
      </w:tr>
      <w:tr w:rsidR="000A3DBE" w:rsidTr="00446B66">
        <w:tc>
          <w:tcPr>
            <w:tcW w:w="1098" w:type="dxa"/>
          </w:tcPr>
          <w:p w:rsidR="007A1B66" w:rsidRDefault="000A3DBE" w:rsidP="00446B66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Extension</w:t>
            </w:r>
          </w:p>
          <w:p w:rsidR="000A3DBE" w:rsidRDefault="007A1B66" w:rsidP="00446B66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Autour du garage</w:t>
            </w:r>
            <w:r w:rsidR="000A3DBE">
              <w:rPr>
                <w:b/>
                <w:i/>
                <w:color w:val="365F91" w:themeColor="accent1" w:themeShade="BF"/>
              </w:rPr>
              <w:t xml:space="preserve"> </w:t>
            </w:r>
          </w:p>
        </w:tc>
        <w:tc>
          <w:tcPr>
            <w:tcW w:w="1537" w:type="dxa"/>
          </w:tcPr>
          <w:p w:rsidR="000A3DBE" w:rsidRDefault="000A3DBE" w:rsidP="000A3DBE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+++</w:t>
            </w:r>
          </w:p>
        </w:tc>
        <w:tc>
          <w:tcPr>
            <w:tcW w:w="1312" w:type="dxa"/>
          </w:tcPr>
          <w:p w:rsidR="000A3DBE" w:rsidRDefault="000A3DBE" w:rsidP="000A3DBE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+++</w:t>
            </w:r>
          </w:p>
        </w:tc>
        <w:tc>
          <w:tcPr>
            <w:tcW w:w="1230" w:type="dxa"/>
          </w:tcPr>
          <w:p w:rsidR="000A3DBE" w:rsidRDefault="000A3DBE" w:rsidP="000A3DBE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++</w:t>
            </w:r>
          </w:p>
        </w:tc>
        <w:tc>
          <w:tcPr>
            <w:tcW w:w="1587" w:type="dxa"/>
          </w:tcPr>
          <w:p w:rsidR="000A3DBE" w:rsidRDefault="000A3DBE" w:rsidP="000A3DBE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++</w:t>
            </w:r>
          </w:p>
        </w:tc>
        <w:tc>
          <w:tcPr>
            <w:tcW w:w="1173" w:type="dxa"/>
          </w:tcPr>
          <w:p w:rsidR="000A3DBE" w:rsidRDefault="007A1B66" w:rsidP="000A3DBE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1.46</w:t>
            </w:r>
          </w:p>
        </w:tc>
        <w:tc>
          <w:tcPr>
            <w:tcW w:w="639" w:type="dxa"/>
          </w:tcPr>
          <w:p w:rsidR="000A3DBE" w:rsidRDefault="000A3DBE" w:rsidP="000A3DBE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++</w:t>
            </w:r>
          </w:p>
        </w:tc>
        <w:tc>
          <w:tcPr>
            <w:tcW w:w="1171" w:type="dxa"/>
          </w:tcPr>
          <w:p w:rsidR="000A3DBE" w:rsidRDefault="000A3DBE" w:rsidP="000A3DBE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++</w:t>
            </w:r>
          </w:p>
        </w:tc>
      </w:tr>
      <w:tr w:rsidR="000A3DBE" w:rsidTr="00446B66">
        <w:tc>
          <w:tcPr>
            <w:tcW w:w="1098" w:type="dxa"/>
          </w:tcPr>
          <w:p w:rsidR="007A1B66" w:rsidRDefault="000A3DBE" w:rsidP="00446B66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Extension</w:t>
            </w:r>
          </w:p>
          <w:p w:rsidR="000A3DBE" w:rsidRDefault="007A1B66" w:rsidP="00446B66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Démolition du garage</w:t>
            </w:r>
            <w:r w:rsidR="000A3DBE">
              <w:rPr>
                <w:b/>
                <w:i/>
                <w:color w:val="365F91" w:themeColor="accent1" w:themeShade="BF"/>
              </w:rPr>
              <w:t xml:space="preserve"> </w:t>
            </w:r>
          </w:p>
        </w:tc>
        <w:tc>
          <w:tcPr>
            <w:tcW w:w="1537" w:type="dxa"/>
          </w:tcPr>
          <w:p w:rsidR="000A3DBE" w:rsidRDefault="000A3DBE" w:rsidP="000A3DBE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+</w:t>
            </w:r>
          </w:p>
        </w:tc>
        <w:tc>
          <w:tcPr>
            <w:tcW w:w="1312" w:type="dxa"/>
          </w:tcPr>
          <w:p w:rsidR="000A3DBE" w:rsidRDefault="000A3DBE" w:rsidP="000A3DBE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++</w:t>
            </w:r>
          </w:p>
        </w:tc>
        <w:tc>
          <w:tcPr>
            <w:tcW w:w="1230" w:type="dxa"/>
          </w:tcPr>
          <w:p w:rsidR="000A3DBE" w:rsidRDefault="000A3DBE" w:rsidP="000A3DBE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+</w:t>
            </w:r>
          </w:p>
        </w:tc>
        <w:tc>
          <w:tcPr>
            <w:tcW w:w="1587" w:type="dxa"/>
          </w:tcPr>
          <w:p w:rsidR="000A3DBE" w:rsidRDefault="000A3DBE" w:rsidP="000A3DBE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+</w:t>
            </w:r>
          </w:p>
        </w:tc>
        <w:tc>
          <w:tcPr>
            <w:tcW w:w="1173" w:type="dxa"/>
          </w:tcPr>
          <w:p w:rsidR="000A3DBE" w:rsidRDefault="007A1B66" w:rsidP="000A3DBE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1.23</w:t>
            </w:r>
          </w:p>
        </w:tc>
        <w:tc>
          <w:tcPr>
            <w:tcW w:w="639" w:type="dxa"/>
          </w:tcPr>
          <w:p w:rsidR="000A3DBE" w:rsidRDefault="000A3DBE" w:rsidP="000A3DBE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+</w:t>
            </w:r>
          </w:p>
        </w:tc>
        <w:tc>
          <w:tcPr>
            <w:tcW w:w="1171" w:type="dxa"/>
          </w:tcPr>
          <w:p w:rsidR="000A3DBE" w:rsidRDefault="000A3DBE" w:rsidP="000A3DBE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+++</w:t>
            </w:r>
          </w:p>
        </w:tc>
      </w:tr>
      <w:tr w:rsidR="000A3DBE" w:rsidTr="00446B66">
        <w:tc>
          <w:tcPr>
            <w:tcW w:w="1098" w:type="dxa"/>
          </w:tcPr>
          <w:p w:rsidR="000A3DBE" w:rsidRDefault="000A3DBE" w:rsidP="00446B66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Extension</w:t>
            </w:r>
            <w:r w:rsidR="007A1B66">
              <w:rPr>
                <w:b/>
                <w:i/>
                <w:color w:val="365F91" w:themeColor="accent1" w:themeShade="BF"/>
              </w:rPr>
              <w:t xml:space="preserve"> Nouveau Bâtiment</w:t>
            </w:r>
            <w:r>
              <w:rPr>
                <w:b/>
                <w:i/>
                <w:color w:val="365F91" w:themeColor="accent1" w:themeShade="BF"/>
              </w:rPr>
              <w:t xml:space="preserve"> </w:t>
            </w:r>
          </w:p>
        </w:tc>
        <w:tc>
          <w:tcPr>
            <w:tcW w:w="1537" w:type="dxa"/>
          </w:tcPr>
          <w:p w:rsidR="000A3DBE" w:rsidRDefault="000A3DBE" w:rsidP="000A3DBE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++</w:t>
            </w:r>
          </w:p>
        </w:tc>
        <w:tc>
          <w:tcPr>
            <w:tcW w:w="1312" w:type="dxa"/>
          </w:tcPr>
          <w:p w:rsidR="000A3DBE" w:rsidRDefault="000A3DBE" w:rsidP="000A3DBE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+</w:t>
            </w:r>
          </w:p>
        </w:tc>
        <w:tc>
          <w:tcPr>
            <w:tcW w:w="1230" w:type="dxa"/>
          </w:tcPr>
          <w:p w:rsidR="000A3DBE" w:rsidRDefault="000A3DBE" w:rsidP="000A3DBE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+++</w:t>
            </w:r>
          </w:p>
        </w:tc>
        <w:tc>
          <w:tcPr>
            <w:tcW w:w="1587" w:type="dxa"/>
          </w:tcPr>
          <w:p w:rsidR="000A3DBE" w:rsidRDefault="000A3DBE" w:rsidP="000A3DBE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+++</w:t>
            </w:r>
          </w:p>
        </w:tc>
        <w:tc>
          <w:tcPr>
            <w:tcW w:w="1173" w:type="dxa"/>
          </w:tcPr>
          <w:p w:rsidR="000A3DBE" w:rsidRDefault="007A1B66" w:rsidP="000A3DBE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1.</w:t>
            </w:r>
            <w:r w:rsidR="00A46534">
              <w:rPr>
                <w:b/>
                <w:i/>
                <w:color w:val="365F91" w:themeColor="accent1" w:themeShade="BF"/>
              </w:rPr>
              <w:t>64</w:t>
            </w:r>
          </w:p>
        </w:tc>
        <w:tc>
          <w:tcPr>
            <w:tcW w:w="639" w:type="dxa"/>
          </w:tcPr>
          <w:p w:rsidR="000A3DBE" w:rsidRDefault="000A3DBE" w:rsidP="000A3DBE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+</w:t>
            </w:r>
          </w:p>
        </w:tc>
        <w:tc>
          <w:tcPr>
            <w:tcW w:w="1171" w:type="dxa"/>
          </w:tcPr>
          <w:p w:rsidR="000A3DBE" w:rsidRDefault="000A3DBE" w:rsidP="000A3DBE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++</w:t>
            </w:r>
          </w:p>
        </w:tc>
      </w:tr>
      <w:tr w:rsidR="000A3DBE" w:rsidTr="00446B66">
        <w:tc>
          <w:tcPr>
            <w:tcW w:w="1098" w:type="dxa"/>
          </w:tcPr>
          <w:p w:rsidR="000A3DBE" w:rsidRDefault="007A1B66" w:rsidP="000A3DBE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Extension</w:t>
            </w:r>
          </w:p>
          <w:p w:rsidR="007A1B66" w:rsidRDefault="007A1B66" w:rsidP="000A3DBE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Semi-Cour</w:t>
            </w:r>
          </w:p>
        </w:tc>
        <w:tc>
          <w:tcPr>
            <w:tcW w:w="1537" w:type="dxa"/>
          </w:tcPr>
          <w:p w:rsidR="000A3DBE" w:rsidRDefault="007A1B66" w:rsidP="007A1B66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+++</w:t>
            </w:r>
          </w:p>
        </w:tc>
        <w:tc>
          <w:tcPr>
            <w:tcW w:w="1312" w:type="dxa"/>
          </w:tcPr>
          <w:p w:rsidR="000A3DBE" w:rsidRDefault="007A1B66" w:rsidP="007A1B66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+++</w:t>
            </w:r>
          </w:p>
        </w:tc>
        <w:tc>
          <w:tcPr>
            <w:tcW w:w="1230" w:type="dxa"/>
          </w:tcPr>
          <w:p w:rsidR="000A3DBE" w:rsidRDefault="007A1B66" w:rsidP="007A1B66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++</w:t>
            </w:r>
          </w:p>
        </w:tc>
        <w:tc>
          <w:tcPr>
            <w:tcW w:w="1587" w:type="dxa"/>
          </w:tcPr>
          <w:p w:rsidR="000A3DBE" w:rsidRDefault="007A1B66" w:rsidP="007A1B66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++</w:t>
            </w:r>
          </w:p>
        </w:tc>
        <w:tc>
          <w:tcPr>
            <w:tcW w:w="1173" w:type="dxa"/>
          </w:tcPr>
          <w:p w:rsidR="000A3DBE" w:rsidRDefault="007A1B66" w:rsidP="007A1B66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1.40</w:t>
            </w:r>
          </w:p>
        </w:tc>
        <w:tc>
          <w:tcPr>
            <w:tcW w:w="639" w:type="dxa"/>
          </w:tcPr>
          <w:p w:rsidR="000A3DBE" w:rsidRDefault="007A1B66" w:rsidP="007A1B66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++</w:t>
            </w:r>
          </w:p>
        </w:tc>
        <w:tc>
          <w:tcPr>
            <w:tcW w:w="1171" w:type="dxa"/>
          </w:tcPr>
          <w:p w:rsidR="000A3DBE" w:rsidRDefault="007A1B66" w:rsidP="007A1B66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+++</w:t>
            </w:r>
          </w:p>
        </w:tc>
      </w:tr>
    </w:tbl>
    <w:p w:rsidR="000A3DBE" w:rsidRDefault="000A3DBE">
      <w:pPr>
        <w:rPr>
          <w:b/>
          <w:i/>
          <w:color w:val="365F91" w:themeColor="accent1" w:themeShade="BF"/>
        </w:rPr>
      </w:pPr>
    </w:p>
    <w:tbl>
      <w:tblPr>
        <w:tblStyle w:val="Grilledutableau"/>
        <w:tblW w:w="9796" w:type="dxa"/>
        <w:tblLook w:val="04A0"/>
      </w:tblPr>
      <w:tblGrid>
        <w:gridCol w:w="1222"/>
        <w:gridCol w:w="1224"/>
        <w:gridCol w:w="1224"/>
        <w:gridCol w:w="1224"/>
        <w:gridCol w:w="1225"/>
        <w:gridCol w:w="1226"/>
        <w:gridCol w:w="1225"/>
        <w:gridCol w:w="1226"/>
      </w:tblGrid>
      <w:tr w:rsidR="007A1B66" w:rsidTr="007A1B66">
        <w:trPr>
          <w:trHeight w:val="269"/>
        </w:trPr>
        <w:tc>
          <w:tcPr>
            <w:tcW w:w="1222" w:type="dxa"/>
          </w:tcPr>
          <w:p w:rsidR="007A1B66" w:rsidRDefault="007A1B66">
            <w:pPr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Bilan</w:t>
            </w:r>
          </w:p>
        </w:tc>
        <w:tc>
          <w:tcPr>
            <w:tcW w:w="1224" w:type="dxa"/>
          </w:tcPr>
          <w:p w:rsidR="007A1B66" w:rsidRDefault="007A1B66">
            <w:pPr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Semi-cour et Autour du garage</w:t>
            </w:r>
          </w:p>
        </w:tc>
        <w:tc>
          <w:tcPr>
            <w:tcW w:w="1224" w:type="dxa"/>
          </w:tcPr>
          <w:p w:rsidR="007A1B66" w:rsidRDefault="007A1B66">
            <w:pPr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Semi-cour et Autour du garage</w:t>
            </w:r>
          </w:p>
        </w:tc>
        <w:tc>
          <w:tcPr>
            <w:tcW w:w="1224" w:type="dxa"/>
          </w:tcPr>
          <w:p w:rsidR="007A1B66" w:rsidRDefault="007A1B66">
            <w:pPr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Nouveau Bâtiment</w:t>
            </w:r>
          </w:p>
        </w:tc>
        <w:tc>
          <w:tcPr>
            <w:tcW w:w="1225" w:type="dxa"/>
          </w:tcPr>
          <w:p w:rsidR="007A1B66" w:rsidRDefault="007A1B66">
            <w:pPr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Nouveau Bâtiment</w:t>
            </w:r>
          </w:p>
        </w:tc>
        <w:tc>
          <w:tcPr>
            <w:tcW w:w="1226" w:type="dxa"/>
          </w:tcPr>
          <w:p w:rsidR="007A1B66" w:rsidRDefault="007A1B66">
            <w:pPr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Démolition du garage</w:t>
            </w:r>
          </w:p>
        </w:tc>
        <w:tc>
          <w:tcPr>
            <w:tcW w:w="1225" w:type="dxa"/>
          </w:tcPr>
          <w:p w:rsidR="007A1B66" w:rsidRDefault="007A1B66">
            <w:pPr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Semi-Cour et Autour du garage</w:t>
            </w:r>
          </w:p>
        </w:tc>
        <w:tc>
          <w:tcPr>
            <w:tcW w:w="1226" w:type="dxa"/>
          </w:tcPr>
          <w:p w:rsidR="007A1B66" w:rsidRDefault="007A1B66" w:rsidP="007A1B66">
            <w:pPr>
              <w:jc w:val="center"/>
              <w:rPr>
                <w:b/>
                <w:i/>
                <w:color w:val="365F91" w:themeColor="accent1" w:themeShade="BF"/>
              </w:rPr>
            </w:pPr>
            <w:r>
              <w:rPr>
                <w:b/>
                <w:i/>
                <w:color w:val="365F91" w:themeColor="accent1" w:themeShade="BF"/>
              </w:rPr>
              <w:t>Démolition du garage et Semi-Cour</w:t>
            </w:r>
          </w:p>
        </w:tc>
      </w:tr>
    </w:tbl>
    <w:p w:rsidR="007A1B66" w:rsidRDefault="007A1B66">
      <w:pPr>
        <w:rPr>
          <w:b/>
          <w:i/>
          <w:color w:val="365F91" w:themeColor="accent1" w:themeShade="BF"/>
        </w:rPr>
      </w:pPr>
    </w:p>
    <w:p w:rsidR="0086711B" w:rsidRPr="00223DE7" w:rsidRDefault="0086711B">
      <w:pPr>
        <w:rPr>
          <w:b/>
          <w:i/>
          <w:color w:val="365F91" w:themeColor="accent1" w:themeShade="BF"/>
        </w:rPr>
      </w:pPr>
      <w:r w:rsidRPr="00223DE7">
        <w:rPr>
          <w:b/>
          <w:i/>
          <w:color w:val="365F91" w:themeColor="accent1" w:themeShade="BF"/>
        </w:rPr>
        <w:t xml:space="preserve">En fonction des  </w:t>
      </w:r>
      <w:r w:rsidR="00A46534" w:rsidRPr="00223DE7">
        <w:rPr>
          <w:b/>
          <w:i/>
          <w:color w:val="365F91" w:themeColor="accent1" w:themeShade="BF"/>
        </w:rPr>
        <w:t>connaissances,</w:t>
      </w:r>
      <w:r w:rsidR="00A46534">
        <w:rPr>
          <w:b/>
          <w:i/>
          <w:color w:val="365F91" w:themeColor="accent1" w:themeShade="BF"/>
        </w:rPr>
        <w:t xml:space="preserve"> </w:t>
      </w:r>
      <w:r w:rsidR="0059618C">
        <w:rPr>
          <w:b/>
          <w:i/>
          <w:color w:val="365F91" w:themeColor="accent1" w:themeShade="BF"/>
        </w:rPr>
        <w:t xml:space="preserve"> </w:t>
      </w:r>
      <w:r w:rsidRPr="00223DE7">
        <w:rPr>
          <w:b/>
          <w:i/>
          <w:color w:val="365F91" w:themeColor="accent1" w:themeShade="BF"/>
        </w:rPr>
        <w:t xml:space="preserve">des consultations possibles sur </w:t>
      </w:r>
      <w:r w:rsidR="00A46534" w:rsidRPr="00223DE7">
        <w:rPr>
          <w:b/>
          <w:i/>
          <w:color w:val="365F91" w:themeColor="accent1" w:themeShade="BF"/>
        </w:rPr>
        <w:t>internet, des</w:t>
      </w:r>
      <w:r w:rsidRPr="00223DE7">
        <w:rPr>
          <w:b/>
          <w:i/>
          <w:color w:val="365F91" w:themeColor="accent1" w:themeShade="BF"/>
        </w:rPr>
        <w:t xml:space="preserve"> calculs, chaque solution doit être quantifiée dans un </w:t>
      </w:r>
      <w:r w:rsidR="00580D2F">
        <w:rPr>
          <w:b/>
          <w:i/>
          <w:color w:val="365F91" w:themeColor="accent1" w:themeShade="BF"/>
        </w:rPr>
        <w:t xml:space="preserve">tableau </w:t>
      </w:r>
      <w:r w:rsidRPr="00223DE7">
        <w:rPr>
          <w:b/>
          <w:i/>
          <w:color w:val="365F91" w:themeColor="accent1" w:themeShade="BF"/>
        </w:rPr>
        <w:t>comparatif sous forme de brainstorming selon le barème suivant</w:t>
      </w:r>
      <w:r w:rsidR="002C6E1B">
        <w:rPr>
          <w:b/>
          <w:i/>
          <w:color w:val="365F91" w:themeColor="accent1" w:themeShade="BF"/>
        </w:rPr>
        <w:t xml:space="preserve"> : (Chaque solution est exposée par son </w:t>
      </w:r>
      <w:r w:rsidR="00A46534">
        <w:rPr>
          <w:b/>
          <w:i/>
          <w:color w:val="365F91" w:themeColor="accent1" w:themeShade="BF"/>
        </w:rPr>
        <w:t>auteur, et</w:t>
      </w:r>
      <w:r w:rsidR="002C6E1B">
        <w:rPr>
          <w:b/>
          <w:i/>
          <w:color w:val="365F91" w:themeColor="accent1" w:themeShade="BF"/>
        </w:rPr>
        <w:t xml:space="preserve"> discutée au sein du groupe)</w:t>
      </w:r>
    </w:p>
    <w:p w:rsidR="0086711B" w:rsidRDefault="0086711B">
      <w:r w:rsidRPr="00223DE7">
        <w:rPr>
          <w:b/>
          <w:color w:val="FF0000"/>
        </w:rPr>
        <w:t>+++</w:t>
      </w:r>
      <w:r>
        <w:t> :</w:t>
      </w:r>
      <w:r w:rsidR="00E40E23">
        <w:t xml:space="preserve">             </w:t>
      </w:r>
      <w:r>
        <w:t>MAXIMUM o</w:t>
      </w:r>
      <w:r w:rsidR="00236E90">
        <w:t xml:space="preserve">u </w:t>
      </w:r>
      <w:r>
        <w:t>MEILLEUR ou FACILE</w:t>
      </w:r>
      <w:r w:rsidR="00236E90">
        <w:t xml:space="preserve"> ou PEU IMPORTANT</w:t>
      </w:r>
    </w:p>
    <w:p w:rsidR="0086711B" w:rsidRDefault="0086711B">
      <w:r w:rsidRPr="00223DE7">
        <w:rPr>
          <w:b/>
          <w:color w:val="FF0000"/>
        </w:rPr>
        <w:t>++</w:t>
      </w:r>
      <w:r>
        <w:t> :</w:t>
      </w:r>
      <w:r w:rsidR="00E40E23">
        <w:t xml:space="preserve">             </w:t>
      </w:r>
      <w:r>
        <w:t xml:space="preserve">  MOYEN</w:t>
      </w:r>
    </w:p>
    <w:p w:rsidR="0086711B" w:rsidRDefault="0086711B">
      <w:r w:rsidRPr="00223DE7">
        <w:rPr>
          <w:color w:val="FF0000"/>
        </w:rPr>
        <w:t>+</w:t>
      </w:r>
      <w:r>
        <w:t xml:space="preserve"> :   </w:t>
      </w:r>
      <w:r w:rsidR="00E40E23">
        <w:t xml:space="preserve">             </w:t>
      </w:r>
      <w:r>
        <w:t xml:space="preserve"> MINIMUM ou MAUVAIS ou DIFFICILE</w:t>
      </w:r>
      <w:r w:rsidR="00236E90">
        <w:t xml:space="preserve"> ou IMPORTANT</w:t>
      </w:r>
    </w:p>
    <w:p w:rsidR="00236E90" w:rsidRDefault="004167A9">
      <w:r>
        <w:rPr>
          <w:noProof/>
          <w:lang w:eastAsia="fr-FR"/>
        </w:rPr>
        <w:pict>
          <v:shape id="_x0000_s1028" type="#_x0000_t202" style="position:absolute;margin-left:-1.85pt;margin-top:33.9pt;width:489.75pt;height:53.25pt;z-index:251660288" fillcolor="#dbe5f1 [660]" strokecolor="red" strokeweight="4.5pt">
            <v:textbox>
              <w:txbxContent>
                <w:p w:rsidR="0059618C" w:rsidRDefault="00236E90" w:rsidP="0059618C">
                  <w:r>
                    <w:t>SOLUTION RETENUE :</w:t>
                  </w:r>
                </w:p>
                <w:p w:rsidR="00236E90" w:rsidRPr="000A3DBE" w:rsidRDefault="000A3DBE" w:rsidP="0059618C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0A3DBE">
                    <w:rPr>
                      <w:b/>
                      <w:sz w:val="32"/>
                      <w:szCs w:val="32"/>
                    </w:rPr>
                    <w:t xml:space="preserve">Extension </w:t>
                  </w:r>
                  <w:r w:rsidR="007A1B66">
                    <w:rPr>
                      <w:b/>
                      <w:sz w:val="32"/>
                      <w:szCs w:val="32"/>
                    </w:rPr>
                    <w:t>semi-cour</w:t>
                  </w:r>
                </w:p>
              </w:txbxContent>
            </v:textbox>
          </v:shape>
        </w:pict>
      </w:r>
      <w:r w:rsidR="00236E90">
        <w:t xml:space="preserve">La </w:t>
      </w:r>
      <w:r w:rsidR="00223DE7">
        <w:t xml:space="preserve">solution ayant un maximum </w:t>
      </w:r>
      <w:r w:rsidR="00236E90">
        <w:t xml:space="preserve">de </w:t>
      </w:r>
      <w:r w:rsidR="00236E90" w:rsidRPr="00223DE7">
        <w:rPr>
          <w:b/>
          <w:color w:val="FF0000"/>
        </w:rPr>
        <w:t>+</w:t>
      </w:r>
      <w:r w:rsidR="00236E90">
        <w:t xml:space="preserve"> est donc la solution que l’on retiendra….</w:t>
      </w:r>
    </w:p>
    <w:sectPr w:rsidR="00236E90" w:rsidSect="00E24D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5860"/>
    <w:rsid w:val="000A3DBE"/>
    <w:rsid w:val="001851BF"/>
    <w:rsid w:val="00223DE7"/>
    <w:rsid w:val="00236E90"/>
    <w:rsid w:val="002C6E1B"/>
    <w:rsid w:val="004167A9"/>
    <w:rsid w:val="00446B66"/>
    <w:rsid w:val="004C3FE8"/>
    <w:rsid w:val="004E5748"/>
    <w:rsid w:val="00580D2F"/>
    <w:rsid w:val="0059618C"/>
    <w:rsid w:val="005E5860"/>
    <w:rsid w:val="006B4EE3"/>
    <w:rsid w:val="00774940"/>
    <w:rsid w:val="0079520E"/>
    <w:rsid w:val="007A1B66"/>
    <w:rsid w:val="0086711B"/>
    <w:rsid w:val="00A262EA"/>
    <w:rsid w:val="00A46534"/>
    <w:rsid w:val="00E24D41"/>
    <w:rsid w:val="00E40E23"/>
    <w:rsid w:val="00EA1B4B"/>
    <w:rsid w:val="00EA5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>
      <o:colormenu v:ext="edit" fillcolor="none [660]" strokecolor="red"/>
    </o:shapedefaults>
    <o:shapelayout v:ext="edit">
      <o:idmap v:ext="edit" data="1"/>
      <o:rules v:ext="edit">
        <o:r id="V:Rule2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4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E5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86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E58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claire-Accent4">
    <w:name w:val="Light Shading Accent 4"/>
    <w:basedOn w:val="TableauNormal"/>
    <w:uiPriority w:val="60"/>
    <w:rsid w:val="005E586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Grillemoyenne1-Accent3">
    <w:name w:val="Medium Grid 1 Accent 3"/>
    <w:basedOn w:val="TableauNormal"/>
    <w:uiPriority w:val="67"/>
    <w:rsid w:val="007952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5">
    <w:name w:val="Medium Grid 1 Accent 5"/>
    <w:basedOn w:val="TableauNormal"/>
    <w:uiPriority w:val="67"/>
    <w:rsid w:val="006B4E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167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ALAIN</dc:creator>
  <cp:lastModifiedBy>h128</cp:lastModifiedBy>
  <cp:revision>8</cp:revision>
  <dcterms:created xsi:type="dcterms:W3CDTF">2014-02-17T12:41:00Z</dcterms:created>
  <dcterms:modified xsi:type="dcterms:W3CDTF">2014-02-18T14:15:00Z</dcterms:modified>
</cp:coreProperties>
</file>